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C1" w:rsidRPr="0047085D" w:rsidRDefault="008F2FC1" w:rsidP="008F2FC1">
      <w:pPr>
        <w:shd w:val="clear" w:color="auto" w:fill="FFFFFF"/>
        <w:spacing w:after="300" w:line="3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  <w:r w:rsidRPr="0047085D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  <w:t>Платежи</w:t>
      </w:r>
    </w:p>
    <w:p w:rsidR="008F2FC1" w:rsidRPr="0047085D" w:rsidRDefault="008F2FC1" w:rsidP="008F2FC1">
      <w:pPr>
        <w:shd w:val="clear" w:color="auto" w:fill="FFFFFF"/>
        <w:spacing w:after="300" w:line="30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4708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Оплата банковской картой в сети Интернет</w:t>
      </w:r>
    </w:p>
    <w:p w:rsidR="008F2FC1" w:rsidRPr="0047085D" w:rsidRDefault="008F2FC1" w:rsidP="008F2FC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708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Наша платформа подключена к </w:t>
      </w:r>
      <w:proofErr w:type="gramStart"/>
      <w:r w:rsidRPr="004708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интернет-эквайрингу</w:t>
      </w:r>
      <w:proofErr w:type="gramEnd"/>
      <w:r w:rsidRPr="004708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Вы можете оплатить Т</w:t>
      </w:r>
      <w:r w:rsidR="00D6570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овар банковской картой </w:t>
      </w:r>
      <w:proofErr w:type="spellStart"/>
      <w:r w:rsidR="00D6570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Visa</w:t>
      </w:r>
      <w:proofErr w:type="spellEnd"/>
      <w:r w:rsidR="00D6570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4708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Mastercard</w:t>
      </w:r>
      <w:proofErr w:type="spellEnd"/>
      <w:r w:rsidR="00D6570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или МИР</w:t>
      </w:r>
      <w:r w:rsidRPr="004708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После подтверждения выбранного Товара Вы будете перенаправлены на защищенную платежную страницу ОАО «Альфа-Банк» (</w:t>
      </w:r>
      <w:proofErr w:type="spellStart"/>
      <w:r w:rsidRPr="0047085D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paymentgate</w:t>
      </w:r>
      <w:proofErr w:type="spellEnd"/>
      <w:r w:rsidRPr="004708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r w:rsidRPr="0047085D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ru</w:t>
      </w:r>
      <w:r w:rsidRPr="004708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), где Вам необходимо ввести данные Вашей банковской карты. Для дополнительной аутентификации держателя карты используется протокол 3D </w:t>
      </w:r>
      <w:proofErr w:type="spellStart"/>
      <w:r w:rsidRPr="004708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Secure</w:t>
      </w:r>
      <w:proofErr w:type="spellEnd"/>
      <w:r w:rsidRPr="004708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Если Ваш Банк поддерживает данную технологию, Вы будете перенаправлены на его сервер для дополнительной идентификации. Информацию о правилах и методах дополнительной идентификации уточняйте в Банке, выдавшем Вам банковскую карту.</w:t>
      </w:r>
    </w:p>
    <w:p w:rsidR="008F2FC1" w:rsidRPr="0047085D" w:rsidRDefault="008F2FC1" w:rsidP="008F2FC1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708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Представленная к оплате сумма является только стоимостью Товара. Стоимость услуг (таких как доставка, сборка) взимается отдельно в момент получения Товара.</w:t>
      </w:r>
    </w:p>
    <w:p w:rsidR="008F2FC1" w:rsidRPr="0047085D" w:rsidRDefault="008F2FC1" w:rsidP="008F2FC1">
      <w:pPr>
        <w:shd w:val="clear" w:color="auto" w:fill="FFFFFF"/>
        <w:spacing w:after="300" w:line="30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4708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Гарантии безопасности</w:t>
      </w:r>
    </w:p>
    <w:p w:rsidR="008F2FC1" w:rsidRPr="0047085D" w:rsidRDefault="008F2FC1" w:rsidP="008F2FC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708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ОАО «Альфа-Банк» защищает и обрабатывает данные Вашей банковской карты по стандарту безопасности </w:t>
      </w:r>
      <w:r w:rsidRPr="0047085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PCI</w:t>
      </w:r>
      <w:r w:rsidRPr="004708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47085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DSS</w:t>
      </w:r>
      <w:r w:rsidRPr="004708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2.0. Передача информации в платежный шлюз происходит с применением технологии шифрования </w:t>
      </w:r>
      <w:r w:rsidRPr="0047085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SSL</w:t>
      </w:r>
      <w:r w:rsidRPr="004708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Дальнейшая передача информации происходит по закрытым банковским сетям, имеющим наивысший уровень надежности. </w:t>
      </w:r>
      <w:r w:rsidRPr="004708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ОАО «Альфа-Банк» не передает данные Вашей карты нам и иным третьим лицам.</w:t>
      </w:r>
      <w:r w:rsidRPr="004708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Для дополнительной аутентификации держателя карты используется протокол 3D </w:t>
      </w:r>
      <w:proofErr w:type="spellStart"/>
      <w:r w:rsidRPr="004708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Secure</w:t>
      </w:r>
      <w:proofErr w:type="spellEnd"/>
      <w:r w:rsidRPr="004708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8F2FC1" w:rsidRPr="0047085D" w:rsidRDefault="008F2FC1" w:rsidP="008F2FC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708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случае, если у Вас есть вопросы по совершенному платежу, Вы можете обратиться в службу поддержки клиентов </w:t>
      </w:r>
      <w:hyperlink r:id="rId5" w:history="1"/>
      <w:r w:rsidRPr="004708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 телефону </w:t>
      </w:r>
      <w:r w:rsidRPr="004708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(495) 78-888-78 (для Москвы и МО), 8(800) 2-000-000 (для регионов)</w:t>
      </w:r>
    </w:p>
    <w:p w:rsidR="008F2FC1" w:rsidRPr="0047085D" w:rsidRDefault="008F2FC1" w:rsidP="008F2FC1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7085D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35074AEE" wp14:editId="73D24CD2">
            <wp:extent cx="2328640" cy="8453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672" cy="84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FC1" w:rsidRPr="0047085D" w:rsidRDefault="008F2FC1" w:rsidP="008F2FC1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8F2FC1" w:rsidRPr="0047085D" w:rsidRDefault="008F2FC1" w:rsidP="008F2FC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708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Безопасность онлайн платежей</w:t>
      </w:r>
    </w:p>
    <w:p w:rsidR="008F2FC1" w:rsidRPr="0047085D" w:rsidRDefault="008F2FC1" w:rsidP="008F2FC1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708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Предоставляемая Вами персональная информация (имя, адрес, телефон, e-</w:t>
      </w:r>
      <w:proofErr w:type="spellStart"/>
      <w:r w:rsidRPr="004708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mail</w:t>
      </w:r>
      <w:proofErr w:type="spellEnd"/>
      <w:r w:rsidRPr="004708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номер кредитной карты) является конфиденциальной и не подлежит разглашению. Данные Вашей кредитной карты передаются только в зашифрованном виде и не сохраняются на нашем </w:t>
      </w:r>
      <w:proofErr w:type="spellStart"/>
      <w:r w:rsidRPr="004708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Web</w:t>
      </w:r>
      <w:proofErr w:type="spellEnd"/>
      <w:r w:rsidRPr="004708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-сервере. </w:t>
      </w:r>
    </w:p>
    <w:p w:rsidR="008F2FC1" w:rsidRPr="0047085D" w:rsidRDefault="008F2FC1" w:rsidP="008F2FC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708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Безопасность обработки Интернет-платежей гарантирует ОАО «Альфа-Банк». Все операции с платежными картами происходят в соответствии с требованиями </w:t>
      </w:r>
      <w:r w:rsidRPr="0047085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VISA</w:t>
      </w:r>
      <w:r w:rsidRPr="004708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proofErr w:type="spellStart"/>
      <w:r w:rsidRPr="004708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International</w:t>
      </w:r>
      <w:proofErr w:type="spellEnd"/>
      <w:r w:rsidRPr="004708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4708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MasterCard</w:t>
      </w:r>
      <w:proofErr w:type="spellEnd"/>
      <w:r w:rsidR="00D6570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МИР</w:t>
      </w:r>
      <w:bookmarkStart w:id="0" w:name="_GoBack"/>
      <w:bookmarkEnd w:id="0"/>
      <w:r w:rsidRPr="004708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других платежных систем. При передаче информации используется специальные технологии безопасности карточных онлайн-платежей, обработка данных ведется на безопасном высокотехнологичном сервере процессинговой компании.  </w:t>
      </w:r>
    </w:p>
    <w:p w:rsidR="0047085D" w:rsidRPr="00D65708" w:rsidRDefault="0047085D" w:rsidP="008F2FC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47085D" w:rsidRPr="00D65708" w:rsidRDefault="0047085D" w:rsidP="008F2FC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47085D" w:rsidRPr="00D65708" w:rsidRDefault="0047085D" w:rsidP="008F2FC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47085D" w:rsidRPr="00D65708" w:rsidRDefault="0047085D" w:rsidP="008F2FC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47085D" w:rsidRPr="00D65708" w:rsidRDefault="0047085D" w:rsidP="008F2FC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47085D" w:rsidRPr="00D65708" w:rsidRDefault="0047085D" w:rsidP="0047085D">
      <w:pPr>
        <w:shd w:val="clear" w:color="auto" w:fill="FFFFFF"/>
        <w:spacing w:after="0" w:line="393" w:lineRule="atLeast"/>
        <w:outlineLvl w:val="1"/>
        <w:rPr>
          <w:rFonts w:ascii="Times New Roman" w:eastAsia="Times New Roman" w:hAnsi="Times New Roman" w:cs="Times New Roman"/>
          <w:color w:val="6F6F6F"/>
          <w:sz w:val="20"/>
          <w:szCs w:val="20"/>
          <w:lang w:eastAsia="ru-RU"/>
        </w:rPr>
      </w:pPr>
      <w:r w:rsidRPr="0047085D">
        <w:rPr>
          <w:rFonts w:ascii="Times New Roman" w:eastAsia="Times New Roman" w:hAnsi="Times New Roman" w:cs="Times New Roman"/>
          <w:color w:val="6F6F6F"/>
          <w:sz w:val="20"/>
          <w:szCs w:val="20"/>
          <w:lang w:eastAsia="ru-RU"/>
        </w:rPr>
        <w:lastRenderedPageBreak/>
        <w:t xml:space="preserve">Конфиденциальность </w:t>
      </w:r>
    </w:p>
    <w:p w:rsidR="0047085D" w:rsidRPr="00D65708" w:rsidRDefault="0047085D" w:rsidP="0047085D">
      <w:pPr>
        <w:shd w:val="clear" w:color="auto" w:fill="FFFFFF"/>
        <w:spacing w:after="0" w:line="393" w:lineRule="atLeast"/>
        <w:outlineLvl w:val="1"/>
        <w:rPr>
          <w:rFonts w:ascii="Times New Roman" w:eastAsia="Times New Roman" w:hAnsi="Times New Roman" w:cs="Times New Roman"/>
          <w:color w:val="6F6F6F"/>
          <w:sz w:val="20"/>
          <w:szCs w:val="20"/>
          <w:lang w:eastAsia="ru-RU"/>
        </w:rPr>
      </w:pPr>
    </w:p>
    <w:p w:rsidR="0047085D" w:rsidRPr="0047085D" w:rsidRDefault="0047085D" w:rsidP="0047085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color w:val="6F6F6F"/>
          <w:sz w:val="20"/>
          <w:szCs w:val="20"/>
          <w:lang w:eastAsia="ru-RU"/>
        </w:rPr>
      </w:pPr>
      <w:r w:rsidRPr="0047085D">
        <w:rPr>
          <w:rFonts w:ascii="Times New Roman" w:eastAsia="Times New Roman" w:hAnsi="Times New Roman" w:cs="Times New Roman"/>
          <w:bCs/>
          <w:color w:val="6F6F6F"/>
          <w:sz w:val="20"/>
          <w:szCs w:val="20"/>
          <w:lang w:eastAsia="ru-RU"/>
        </w:rPr>
        <w:t xml:space="preserve">Услуга оплаты через интернет осуществляется в соответствии с Правилами международных платежных систем на принципах соблюдения конфиденциальности и безопасности совершения платежа, для чего используются </w:t>
      </w:r>
      <w:r w:rsidRPr="0047085D">
        <w:rPr>
          <w:rFonts w:ascii="Times New Roman" w:eastAsia="Times New Roman" w:hAnsi="Times New Roman" w:cs="Times New Roman"/>
          <w:bCs/>
          <w:color w:val="6F6F6F"/>
          <w:sz w:val="20"/>
          <w:szCs w:val="20"/>
          <w:u w:val="single"/>
          <w:lang w:eastAsia="ru-RU"/>
        </w:rPr>
        <w:t>самые современные методы проверки, шифрования и передачи данных по закрытым каналам связи</w:t>
      </w:r>
      <w:r w:rsidRPr="0047085D">
        <w:rPr>
          <w:rFonts w:ascii="Times New Roman" w:eastAsia="Times New Roman" w:hAnsi="Times New Roman" w:cs="Times New Roman"/>
          <w:bCs/>
          <w:color w:val="6F6F6F"/>
          <w:sz w:val="20"/>
          <w:szCs w:val="20"/>
          <w:lang w:eastAsia="ru-RU"/>
        </w:rPr>
        <w:t xml:space="preserve">. </w:t>
      </w:r>
    </w:p>
    <w:p w:rsidR="0047085D" w:rsidRPr="0047085D" w:rsidRDefault="0047085D" w:rsidP="0047085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color w:val="6F6F6F"/>
          <w:sz w:val="20"/>
          <w:szCs w:val="20"/>
          <w:lang w:eastAsia="ru-RU"/>
        </w:rPr>
      </w:pPr>
      <w:r w:rsidRPr="0047085D">
        <w:rPr>
          <w:rFonts w:ascii="Times New Roman" w:eastAsia="Times New Roman" w:hAnsi="Times New Roman" w:cs="Times New Roman"/>
          <w:bCs/>
          <w:color w:val="6F6F6F"/>
          <w:sz w:val="20"/>
          <w:szCs w:val="20"/>
          <w:lang w:eastAsia="ru-RU"/>
        </w:rPr>
        <w:t xml:space="preserve">Ввод данных банковской карты осуществляется на защищенной платежной странице банка - партнера, предоставляющего Услугу. </w:t>
      </w:r>
      <w:r w:rsidRPr="0047085D">
        <w:rPr>
          <w:rFonts w:ascii="Times New Roman" w:eastAsia="Times New Roman" w:hAnsi="Times New Roman" w:cs="Times New Roman"/>
          <w:bCs/>
          <w:color w:val="6F6F6F"/>
          <w:sz w:val="20"/>
          <w:szCs w:val="20"/>
          <w:lang w:eastAsia="ru-RU"/>
        </w:rPr>
        <w:br/>
        <w:t xml:space="preserve">Нашим банком - партнером является ОАО «Альфа-Банк». </w:t>
      </w:r>
    </w:p>
    <w:p w:rsidR="0047085D" w:rsidRPr="0047085D" w:rsidRDefault="0047085D" w:rsidP="0047085D">
      <w:pPr>
        <w:shd w:val="clear" w:color="auto" w:fill="FFFFFF"/>
        <w:spacing w:after="0" w:line="393" w:lineRule="atLeast"/>
        <w:outlineLvl w:val="1"/>
        <w:rPr>
          <w:rFonts w:ascii="Times New Roman" w:eastAsia="Times New Roman" w:hAnsi="Times New Roman" w:cs="Times New Roman"/>
          <w:color w:val="6F6F6F"/>
          <w:sz w:val="20"/>
          <w:szCs w:val="20"/>
          <w:lang w:eastAsia="ru-RU"/>
        </w:rPr>
      </w:pPr>
      <w:r w:rsidRPr="0047085D">
        <w:rPr>
          <w:rFonts w:ascii="Times New Roman" w:eastAsia="Times New Roman" w:hAnsi="Times New Roman" w:cs="Times New Roman"/>
          <w:color w:val="6F6F6F"/>
          <w:sz w:val="20"/>
          <w:szCs w:val="20"/>
          <w:lang w:eastAsia="ru-RU"/>
        </w:rPr>
        <w:t xml:space="preserve">Случаи отказа в совершении платежа: </w:t>
      </w:r>
    </w:p>
    <w:p w:rsidR="0047085D" w:rsidRPr="0047085D" w:rsidRDefault="0047085D" w:rsidP="00470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6" w:lineRule="atLeast"/>
        <w:ind w:left="327"/>
        <w:rPr>
          <w:rFonts w:ascii="Times New Roman" w:eastAsia="Times New Roman" w:hAnsi="Times New Roman" w:cs="Times New Roman"/>
          <w:bCs/>
          <w:color w:val="6F6F6F"/>
          <w:sz w:val="20"/>
          <w:szCs w:val="20"/>
          <w:lang w:eastAsia="ru-RU"/>
        </w:rPr>
      </w:pPr>
      <w:r w:rsidRPr="0047085D">
        <w:rPr>
          <w:rFonts w:ascii="Times New Roman" w:eastAsia="Times New Roman" w:hAnsi="Times New Roman" w:cs="Times New Roman"/>
          <w:bCs/>
          <w:color w:val="6F6F6F"/>
          <w:sz w:val="20"/>
          <w:szCs w:val="20"/>
          <w:lang w:eastAsia="ru-RU"/>
        </w:rPr>
        <w:t xml:space="preserve">банковская карта не предназначена для совершения платежей через интернет, о чем можно узнать, осведомившись в Вашем Банке; </w:t>
      </w:r>
    </w:p>
    <w:p w:rsidR="0047085D" w:rsidRPr="0047085D" w:rsidRDefault="0047085D" w:rsidP="00470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6" w:lineRule="atLeast"/>
        <w:ind w:left="327"/>
        <w:rPr>
          <w:rFonts w:ascii="Times New Roman" w:eastAsia="Times New Roman" w:hAnsi="Times New Roman" w:cs="Times New Roman"/>
          <w:bCs/>
          <w:color w:val="6F6F6F"/>
          <w:sz w:val="20"/>
          <w:szCs w:val="20"/>
          <w:lang w:eastAsia="ru-RU"/>
        </w:rPr>
      </w:pPr>
      <w:r w:rsidRPr="0047085D">
        <w:rPr>
          <w:rFonts w:ascii="Times New Roman" w:eastAsia="Times New Roman" w:hAnsi="Times New Roman" w:cs="Times New Roman"/>
          <w:bCs/>
          <w:color w:val="6F6F6F"/>
          <w:sz w:val="20"/>
          <w:szCs w:val="20"/>
          <w:lang w:eastAsia="ru-RU"/>
        </w:rPr>
        <w:t xml:space="preserve">данные банковской карты введены неверно. </w:t>
      </w:r>
    </w:p>
    <w:p w:rsidR="0047085D" w:rsidRPr="0047085D" w:rsidRDefault="0047085D" w:rsidP="00470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6F6F6F"/>
          <w:sz w:val="20"/>
          <w:szCs w:val="20"/>
          <w:lang w:eastAsia="ru-RU"/>
        </w:rPr>
      </w:pPr>
      <w:r w:rsidRPr="0047085D">
        <w:rPr>
          <w:rFonts w:ascii="Times New Roman" w:eastAsia="Times New Roman" w:hAnsi="Times New Roman" w:cs="Times New Roman"/>
          <w:bCs/>
          <w:color w:val="6F6F6F"/>
          <w:sz w:val="20"/>
          <w:szCs w:val="20"/>
          <w:lang w:eastAsia="ru-RU"/>
        </w:rPr>
        <w:t xml:space="preserve">Для корректного ввода необходимо внимательно и точно, соблюдая последовательность цифр и букв, ввести данные так, как они указаны на Вашей карте: </w:t>
      </w:r>
      <w:r w:rsidRPr="0047085D">
        <w:rPr>
          <w:rFonts w:ascii="Times New Roman" w:eastAsia="Times New Roman" w:hAnsi="Times New Roman" w:cs="Times New Roman"/>
          <w:bCs/>
          <w:color w:val="6F6F6F"/>
          <w:sz w:val="20"/>
          <w:szCs w:val="20"/>
          <w:lang w:eastAsia="ru-RU"/>
        </w:rPr>
        <w:br/>
      </w:r>
    </w:p>
    <w:p w:rsidR="0047085D" w:rsidRPr="0047085D" w:rsidRDefault="0047085D" w:rsidP="004708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6" w:lineRule="atLeast"/>
        <w:ind w:left="327"/>
        <w:rPr>
          <w:rFonts w:ascii="Times New Roman" w:eastAsia="Times New Roman" w:hAnsi="Times New Roman" w:cs="Times New Roman"/>
          <w:bCs/>
          <w:color w:val="6F6F6F"/>
          <w:sz w:val="20"/>
          <w:szCs w:val="20"/>
          <w:lang w:eastAsia="ru-RU"/>
        </w:rPr>
      </w:pPr>
      <w:r w:rsidRPr="0047085D">
        <w:rPr>
          <w:rFonts w:ascii="Times New Roman" w:eastAsia="Times New Roman" w:hAnsi="Times New Roman" w:cs="Times New Roman"/>
          <w:bCs/>
          <w:color w:val="6F6F6F"/>
          <w:sz w:val="20"/>
          <w:szCs w:val="20"/>
          <w:lang w:eastAsia="ru-RU"/>
        </w:rPr>
        <w:t xml:space="preserve">владелец карты (как правило, указан на лицевой стороне банковской карты на английском языке заглавными буквами. Например, IVANOV IVAN); </w:t>
      </w:r>
    </w:p>
    <w:p w:rsidR="0047085D" w:rsidRPr="0047085D" w:rsidRDefault="0047085D" w:rsidP="004708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6" w:lineRule="atLeast"/>
        <w:ind w:left="327"/>
        <w:rPr>
          <w:rFonts w:ascii="Times New Roman" w:eastAsia="Times New Roman" w:hAnsi="Times New Roman" w:cs="Times New Roman"/>
          <w:bCs/>
          <w:color w:val="6F6F6F"/>
          <w:sz w:val="20"/>
          <w:szCs w:val="20"/>
          <w:lang w:eastAsia="ru-RU"/>
        </w:rPr>
      </w:pPr>
      <w:r w:rsidRPr="0047085D">
        <w:rPr>
          <w:rFonts w:ascii="Times New Roman" w:eastAsia="Times New Roman" w:hAnsi="Times New Roman" w:cs="Times New Roman"/>
          <w:bCs/>
          <w:color w:val="6F6F6F"/>
          <w:sz w:val="20"/>
          <w:szCs w:val="20"/>
          <w:lang w:eastAsia="ru-RU"/>
        </w:rPr>
        <w:t xml:space="preserve">номер карты (как правило, указан на лицевой стороне банковской карты и состоит из 16-и цифр. </w:t>
      </w:r>
      <w:proofErr w:type="gramStart"/>
      <w:r w:rsidRPr="0047085D">
        <w:rPr>
          <w:rFonts w:ascii="Times New Roman" w:eastAsia="Times New Roman" w:hAnsi="Times New Roman" w:cs="Times New Roman"/>
          <w:bCs/>
          <w:color w:val="6F6F6F"/>
          <w:sz w:val="20"/>
          <w:szCs w:val="20"/>
          <w:lang w:eastAsia="ru-RU"/>
        </w:rPr>
        <w:t>Например</w:t>
      </w:r>
      <w:proofErr w:type="gramEnd"/>
      <w:r w:rsidRPr="0047085D">
        <w:rPr>
          <w:rFonts w:ascii="Times New Roman" w:eastAsia="Times New Roman" w:hAnsi="Times New Roman" w:cs="Times New Roman"/>
          <w:bCs/>
          <w:color w:val="6F6F6F"/>
          <w:sz w:val="20"/>
          <w:szCs w:val="20"/>
          <w:lang w:eastAsia="ru-RU"/>
        </w:rPr>
        <w:t xml:space="preserve">: 0123 4567 8901 2345); </w:t>
      </w:r>
    </w:p>
    <w:p w:rsidR="0047085D" w:rsidRPr="0047085D" w:rsidRDefault="0047085D" w:rsidP="004708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6" w:lineRule="atLeast"/>
        <w:ind w:left="327"/>
        <w:rPr>
          <w:rFonts w:ascii="Times New Roman" w:eastAsia="Times New Roman" w:hAnsi="Times New Roman" w:cs="Times New Roman"/>
          <w:bCs/>
          <w:color w:val="6F6F6F"/>
          <w:sz w:val="20"/>
          <w:szCs w:val="20"/>
          <w:lang w:eastAsia="ru-RU"/>
        </w:rPr>
      </w:pPr>
      <w:r w:rsidRPr="0047085D">
        <w:rPr>
          <w:rFonts w:ascii="Times New Roman" w:eastAsia="Times New Roman" w:hAnsi="Times New Roman" w:cs="Times New Roman"/>
          <w:bCs/>
          <w:color w:val="6F6F6F"/>
          <w:sz w:val="20"/>
          <w:szCs w:val="20"/>
          <w:lang w:eastAsia="ru-RU"/>
        </w:rPr>
        <w:t xml:space="preserve">срок действия карты (как правило, указан на лицевой стороне банковской карты - месяц и год, до которого действительна карта. Срок действия карты вводится цифрами. Например, 12 (вводится в поле месяца) и 13 (вводится в поле года), что означает, что карта действительна до декабря 2013 года); г) CVV2 или CVC2 код карты (как правило, указан на обратной стороне банковской карты и состоит из 3-х цифр. Например, 123). </w:t>
      </w:r>
    </w:p>
    <w:p w:rsidR="0047085D" w:rsidRPr="0047085D" w:rsidRDefault="0047085D" w:rsidP="004708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6" w:lineRule="atLeast"/>
        <w:ind w:left="327"/>
        <w:rPr>
          <w:rFonts w:ascii="Times New Roman" w:eastAsia="Times New Roman" w:hAnsi="Times New Roman" w:cs="Times New Roman"/>
          <w:bCs/>
          <w:color w:val="6F6F6F"/>
          <w:sz w:val="20"/>
          <w:szCs w:val="20"/>
          <w:lang w:eastAsia="ru-RU"/>
        </w:rPr>
      </w:pPr>
      <w:r w:rsidRPr="0047085D">
        <w:rPr>
          <w:rFonts w:ascii="Times New Roman" w:eastAsia="Times New Roman" w:hAnsi="Times New Roman" w:cs="Times New Roman"/>
          <w:bCs/>
          <w:color w:val="6F6F6F"/>
          <w:sz w:val="20"/>
          <w:szCs w:val="20"/>
          <w:lang w:eastAsia="ru-RU"/>
        </w:rPr>
        <w:t xml:space="preserve">истек срок действия банковской карты. Срок действия карты, как правило, указан на лицевой стороне карты (это месяц и год, до которого действительна карта). Подробнее о сроке действия карты Вы можете узнать, обратившись в банк, выпустивший банковскую карту; </w:t>
      </w:r>
    </w:p>
    <w:p w:rsidR="0047085D" w:rsidRPr="0047085D" w:rsidRDefault="0047085D" w:rsidP="004708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6" w:lineRule="atLeast"/>
        <w:ind w:left="327"/>
        <w:rPr>
          <w:rFonts w:ascii="Times New Roman" w:eastAsia="Times New Roman" w:hAnsi="Times New Roman" w:cs="Times New Roman"/>
          <w:bCs/>
          <w:color w:val="6F6F6F"/>
          <w:sz w:val="20"/>
          <w:szCs w:val="20"/>
          <w:lang w:eastAsia="ru-RU"/>
        </w:rPr>
      </w:pPr>
      <w:r w:rsidRPr="0047085D">
        <w:rPr>
          <w:rFonts w:ascii="Times New Roman" w:eastAsia="Times New Roman" w:hAnsi="Times New Roman" w:cs="Times New Roman"/>
          <w:bCs/>
          <w:color w:val="6F6F6F"/>
          <w:sz w:val="20"/>
          <w:szCs w:val="20"/>
          <w:lang w:eastAsia="ru-RU"/>
        </w:rPr>
        <w:t xml:space="preserve">недостаточно средств для оплаты на банковской карте. Подробнее о наличии средств на банковской карте Вы можете узнать, обратившись в банк, выпустивший банковскую карту; </w:t>
      </w:r>
    </w:p>
    <w:p w:rsidR="0047085D" w:rsidRPr="0047085D" w:rsidRDefault="0047085D" w:rsidP="004708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6" w:lineRule="atLeast"/>
        <w:ind w:left="327"/>
        <w:rPr>
          <w:rFonts w:ascii="Times New Roman" w:eastAsia="Times New Roman" w:hAnsi="Times New Roman" w:cs="Times New Roman"/>
          <w:bCs/>
          <w:color w:val="6F6F6F"/>
          <w:sz w:val="20"/>
          <w:szCs w:val="20"/>
          <w:lang w:eastAsia="ru-RU"/>
        </w:rPr>
      </w:pPr>
      <w:r w:rsidRPr="0047085D">
        <w:rPr>
          <w:rFonts w:ascii="Times New Roman" w:eastAsia="Times New Roman" w:hAnsi="Times New Roman" w:cs="Times New Roman"/>
          <w:bCs/>
          <w:color w:val="6F6F6F"/>
          <w:sz w:val="20"/>
          <w:szCs w:val="20"/>
          <w:lang w:eastAsia="ru-RU"/>
        </w:rPr>
        <w:t xml:space="preserve">превышен установленный лимит операций за день. Сумма ежедневного лимита для всех операций определяется банком-партнером. </w:t>
      </w:r>
    </w:p>
    <w:p w:rsidR="0047085D" w:rsidRPr="0047085D" w:rsidRDefault="0047085D" w:rsidP="008F2FC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E5070D" w:rsidRDefault="00E5070D"/>
    <w:sectPr w:rsidR="00E5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03DDB"/>
    <w:multiLevelType w:val="multilevel"/>
    <w:tmpl w:val="7362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814075"/>
    <w:multiLevelType w:val="multilevel"/>
    <w:tmpl w:val="F70C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29"/>
    <w:rsid w:val="00233622"/>
    <w:rsid w:val="0047085D"/>
    <w:rsid w:val="008F2FC1"/>
    <w:rsid w:val="00A46629"/>
    <w:rsid w:val="00C71FDF"/>
    <w:rsid w:val="00D65708"/>
    <w:rsid w:val="00E5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A35A"/>
  <w15:docId w15:val="{22D6A006-C03C-447C-A777-C8298D5F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F2F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2F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2F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2FC1"/>
  </w:style>
  <w:style w:type="character" w:customStyle="1" w:styleId="caps">
    <w:name w:val="caps"/>
    <w:basedOn w:val="a0"/>
    <w:rsid w:val="008F2FC1"/>
  </w:style>
  <w:style w:type="paragraph" w:styleId="a5">
    <w:name w:val="Balloon Text"/>
    <w:basedOn w:val="a"/>
    <w:link w:val="a6"/>
    <w:uiPriority w:val="99"/>
    <w:semiHidden/>
    <w:unhideWhenUsed/>
    <w:rsid w:val="008F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upport@unitel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Дмитрий Олегович</dc:creator>
  <cp:lastModifiedBy>RePack by Diakov</cp:lastModifiedBy>
  <cp:revision>2</cp:revision>
  <dcterms:created xsi:type="dcterms:W3CDTF">2017-09-15T12:11:00Z</dcterms:created>
  <dcterms:modified xsi:type="dcterms:W3CDTF">2017-09-15T12:11:00Z</dcterms:modified>
</cp:coreProperties>
</file>